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11 – CRONOGRAMA DO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Ind w:w="-321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5354"/>
        <w:gridCol w:w="3855"/>
        <w:tblGridChange w:id="0">
          <w:tblGrid>
            <w:gridCol w:w="5354"/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Prazos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Inscrições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Das 8 horas do dia 15/05 até as 17 horas do dia 19/06/2026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Publicação das inscrições recebidas – admissibilidade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5 dias úteis após o fim das inscrições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Prazo para envio de recursos contra a admissibilidade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dias úteis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Seleção dos projetos – Análise de mérito e publicação do resultado preliminar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45 dias após o fim do prazo de admissibilidade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Prazo para envio de recursos contra o resultado preliminar da Etapa de Seleção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dias úteis após a publicação do resultado preliminar da Etapa de Seleção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dos recursos e publicação do resultado final da Etapa de Seleção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15 dias úteis após o fim do prazo de interposição de recursos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 de Habilitação – envio da documentação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dias úteis após a publicação do resultado final da Etapa de Seleção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Publicação do resultado preliminar da Etapa de Habilitação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5 dias úteis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Prazo para envio de recursos contra o resultado preliminar da Etapa de Habilitação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dias úteis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dos recursos e publicação do resultado final da Etapa de Habilitação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5 dias úteis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Termo de Execução Cultural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dias úteis após o envio do Termo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Repasse de recursos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30 dias úteis após a assinatura do Termo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Execução do projeto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 dias após o recebimento dos recursos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Entrega do Relatório Final de Execução do Objeto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Até 30 dias após a finalização do projeto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Importante: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prazos previstos acima são estimados e poderão ser alterados pela Secretaria Municipal de Cultura, Esporte e Economia Criativa caso haja algum caso fortuito que resulte em atrasos.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114300</wp:posOffset>
          </wp:positionV>
          <wp:extent cx="2193257" cy="6667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3257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4" name="image3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3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j0e9lp5oyv7t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1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8Or0QTU8NQTavKKCNNvBzTkaRA==">CgMxLjAyDmguajBlOWxwNW95djd0OAByITFmbUJxNUtmemtxUU80OVljamNhcTVQWU1vMWdTd2VpOQ==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