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b w:val="1"/>
          <w:bCs w:val="1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07 – 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Este anexo deve ser preenchido pelos agentes culturais concorrentes às cotas étnico-raciais – negros ou indígenas.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_________________________________________, CPF nº ________________, DECLARO para fins de participação no Edital de Chamamento Público nº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001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/2026 que sou _______________________________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(informar se é NEGRO OU INDÍGENA)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São José dos Ausentes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___ de __________ de 20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</wp:posOffset>
          </wp:positionH>
          <wp:positionV relativeFrom="paragraph">
            <wp:posOffset>194157</wp:posOffset>
          </wp:positionV>
          <wp:extent cx="2058353" cy="62645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8353" cy="626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4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n7vvt3ghn5s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2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N2rHjQYFj+xrC9TOc8QQrFNUYQ==">CgMxLjAyDWgubjd2dnQzZ2huNXM4AHIhMUZXSXNLdVltUE85TGpxQmZGb2xCVUwxV095Y3BIWTlX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